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C88" w:rsidRDefault="00B87C88" w:rsidP="00B87C88">
      <w:pPr>
        <w:pStyle w:val="3"/>
        <w:spacing w:before="240" w:line="293" w:lineRule="auto"/>
      </w:pPr>
      <w:bookmarkStart w:id="0" w:name="_GoBack"/>
      <w:bookmarkEnd w:id="0"/>
      <w:r>
        <w:t xml:space="preserve">2 РАЗРАБОТКА СПОСОБОВ АНТИКОРРОЗИОННОЙ ЗАЩИТЫ </w:t>
      </w:r>
    </w:p>
    <w:p w:rsidR="00B87C88" w:rsidRDefault="00B87C88" w:rsidP="00B87C88">
      <w:pPr>
        <w:pStyle w:val="3"/>
        <w:spacing w:after="120" w:line="293" w:lineRule="auto"/>
      </w:pPr>
      <w:r>
        <w:t>ЖЕЛЕЗОБЕТОННЫХ КОНСТРУКЦИЙ</w:t>
      </w:r>
    </w:p>
    <w:p w:rsidR="00B87C88" w:rsidRDefault="00B87C88" w:rsidP="00B87C88">
      <w:pPr>
        <w:spacing w:before="120" w:after="120" w:line="293" w:lineRule="auto"/>
        <w:jc w:val="center"/>
        <w:rPr>
          <w:sz w:val="28"/>
        </w:rPr>
      </w:pPr>
      <w:r>
        <w:rPr>
          <w:b/>
          <w:sz w:val="28"/>
        </w:rPr>
        <w:t>2.1 Цель занятия</w:t>
      </w:r>
    </w:p>
    <w:p w:rsidR="00B87C88" w:rsidRDefault="00B87C88" w:rsidP="00B87C88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 xml:space="preserve">Подбор лакокрасочных материалов для защиты железобетонных конструкций от коррозии.  </w:t>
      </w:r>
    </w:p>
    <w:p w:rsidR="00B87C88" w:rsidRDefault="00B87C88" w:rsidP="00B87C88">
      <w:pPr>
        <w:pStyle w:val="1"/>
        <w:spacing w:before="120" w:after="120" w:line="293" w:lineRule="auto"/>
      </w:pPr>
      <w:r>
        <w:t>2.2 Теоретические сведения</w:t>
      </w:r>
    </w:p>
    <w:p w:rsidR="00B87C88" w:rsidRDefault="00B87C88" w:rsidP="00B87C88">
      <w:pPr>
        <w:spacing w:line="293" w:lineRule="auto"/>
        <w:ind w:firstLine="567"/>
        <w:jc w:val="both"/>
        <w:rPr>
          <w:sz w:val="28"/>
        </w:rPr>
      </w:pPr>
      <w:r w:rsidRPr="003C5E41">
        <w:rPr>
          <w:sz w:val="28"/>
        </w:rPr>
        <w:t>Лакокрасочные покрытия</w:t>
      </w:r>
      <w:r>
        <w:rPr>
          <w:sz w:val="28"/>
        </w:rPr>
        <w:t xml:space="preserve"> относятся к числу наиболее распространённых вторичных мер защиты железобетонных конструкций от коррозии. По типу </w:t>
      </w:r>
      <w:proofErr w:type="gramStart"/>
      <w:r>
        <w:rPr>
          <w:sz w:val="28"/>
        </w:rPr>
        <w:t>плёнкообразующих</w:t>
      </w:r>
      <w:proofErr w:type="gramEnd"/>
      <w:r>
        <w:rPr>
          <w:sz w:val="28"/>
        </w:rPr>
        <w:t xml:space="preserve"> они бывают: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643"/>
        <w:gridCol w:w="4644"/>
      </w:tblGrid>
      <w:tr w:rsidR="00B87C88" w:rsidTr="004C62B9">
        <w:tc>
          <w:tcPr>
            <w:tcW w:w="4643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br w:type="page"/>
              <w:t>- алкидные;</w:t>
            </w:r>
          </w:p>
        </w:tc>
        <w:tc>
          <w:tcPr>
            <w:tcW w:w="4644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кремнийорганические;</w:t>
            </w:r>
          </w:p>
        </w:tc>
      </w:tr>
      <w:tr w:rsidR="00B87C88" w:rsidTr="004C62B9">
        <w:tc>
          <w:tcPr>
            <w:tcW w:w="4643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масляные;</w:t>
            </w:r>
          </w:p>
        </w:tc>
        <w:tc>
          <w:tcPr>
            <w:tcW w:w="4644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эпоксидные;</w:t>
            </w:r>
          </w:p>
        </w:tc>
      </w:tr>
      <w:tr w:rsidR="00B87C88" w:rsidTr="004C62B9">
        <w:tc>
          <w:tcPr>
            <w:tcW w:w="4643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нитроцеллюлозные;</w:t>
            </w:r>
          </w:p>
        </w:tc>
        <w:tc>
          <w:tcPr>
            <w:tcW w:w="4644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перхлорвиниловые;</w:t>
            </w:r>
          </w:p>
        </w:tc>
      </w:tr>
      <w:tr w:rsidR="00B87C88" w:rsidTr="004C62B9">
        <w:tc>
          <w:tcPr>
            <w:tcW w:w="4643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полимерцементные;</w:t>
            </w:r>
          </w:p>
        </w:tc>
        <w:tc>
          <w:tcPr>
            <w:tcW w:w="4644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хлоркаучуковые;</w:t>
            </w:r>
          </w:p>
        </w:tc>
      </w:tr>
      <w:tr w:rsidR="00B87C88" w:rsidTr="004C62B9">
        <w:tc>
          <w:tcPr>
            <w:tcW w:w="4643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органосиликатные</w:t>
            </w:r>
            <w:proofErr w:type="spellEnd"/>
            <w:r>
              <w:rPr>
                <w:sz w:val="28"/>
              </w:rPr>
              <w:t>;</w:t>
            </w:r>
          </w:p>
        </w:tc>
        <w:tc>
          <w:tcPr>
            <w:tcW w:w="4644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хлорсульфированный полиэтилен;</w:t>
            </w:r>
          </w:p>
        </w:tc>
      </w:tr>
      <w:tr w:rsidR="00B87C88" w:rsidTr="004C62B9">
        <w:tc>
          <w:tcPr>
            <w:tcW w:w="4643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поливинилацетатные;</w:t>
            </w:r>
          </w:p>
        </w:tc>
        <w:tc>
          <w:tcPr>
            <w:tcW w:w="4644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хлорнаиритовые</w:t>
            </w:r>
            <w:proofErr w:type="spellEnd"/>
            <w:r>
              <w:rPr>
                <w:sz w:val="28"/>
              </w:rPr>
              <w:t>;</w:t>
            </w:r>
          </w:p>
        </w:tc>
      </w:tr>
      <w:tr w:rsidR="00B87C88" w:rsidTr="004C62B9">
        <w:tc>
          <w:tcPr>
            <w:tcW w:w="4643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бутадиенстирольные</w:t>
            </w:r>
            <w:proofErr w:type="spellEnd"/>
            <w:r>
              <w:rPr>
                <w:sz w:val="28"/>
              </w:rPr>
              <w:t>;</w:t>
            </w:r>
          </w:p>
        </w:tc>
        <w:tc>
          <w:tcPr>
            <w:tcW w:w="4644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тиоколовые</w:t>
            </w:r>
            <w:proofErr w:type="spellEnd"/>
            <w:r>
              <w:rPr>
                <w:sz w:val="28"/>
              </w:rPr>
              <w:t>.</w:t>
            </w:r>
          </w:p>
        </w:tc>
      </w:tr>
    </w:tbl>
    <w:p w:rsidR="00B87C88" w:rsidRDefault="00B87C88" w:rsidP="00B87C88">
      <w:pPr>
        <w:spacing w:before="120" w:line="293" w:lineRule="auto"/>
        <w:ind w:firstLine="567"/>
        <w:jc w:val="both"/>
        <w:rPr>
          <w:sz w:val="28"/>
        </w:rPr>
      </w:pPr>
      <w:r>
        <w:rPr>
          <w:sz w:val="28"/>
        </w:rPr>
        <w:t>Лакокрасочные покрытия делят на два типа: атмосферостойкие (</w:t>
      </w:r>
      <w:r w:rsidRPr="003C5E41">
        <w:rPr>
          <w:sz w:val="28"/>
        </w:rPr>
        <w:t>а – стойкие на открытом воздухе; ан – под навесом) и для внутренних работ (</w:t>
      </w:r>
      <w:proofErr w:type="gramStart"/>
      <w:r w:rsidRPr="003C5E41">
        <w:rPr>
          <w:sz w:val="28"/>
        </w:rPr>
        <w:t>п</w:t>
      </w:r>
      <w:proofErr w:type="gramEnd"/>
      <w:r>
        <w:rPr>
          <w:sz w:val="28"/>
        </w:rPr>
        <w:t xml:space="preserve"> – в помещениях). Кроме этого, они обладают другими свойствами, которые в нормах проектирования обозначают индексами: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643"/>
        <w:gridCol w:w="4644"/>
      </w:tblGrid>
      <w:tr w:rsidR="00B87C88" w:rsidTr="004C62B9">
        <w:tc>
          <w:tcPr>
            <w:tcW w:w="4643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 w:rsidRPr="003C5E41">
              <w:rPr>
                <w:sz w:val="28"/>
              </w:rPr>
              <w:t>х – химически стойкие;</w:t>
            </w:r>
          </w:p>
        </w:tc>
        <w:tc>
          <w:tcPr>
            <w:tcW w:w="4644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 w:rsidRPr="003C5E41">
              <w:rPr>
                <w:sz w:val="28"/>
              </w:rPr>
              <w:t xml:space="preserve">щ – </w:t>
            </w:r>
            <w:proofErr w:type="spellStart"/>
            <w:r w:rsidRPr="003C5E41">
              <w:rPr>
                <w:sz w:val="28"/>
              </w:rPr>
              <w:t>щелочестойкие</w:t>
            </w:r>
            <w:proofErr w:type="spellEnd"/>
            <w:r w:rsidRPr="003C5E41">
              <w:rPr>
                <w:sz w:val="28"/>
              </w:rPr>
              <w:t>;</w:t>
            </w:r>
          </w:p>
        </w:tc>
      </w:tr>
      <w:tr w:rsidR="00B87C88" w:rsidTr="004C62B9">
        <w:tc>
          <w:tcPr>
            <w:tcW w:w="4643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 w:rsidRPr="003C5E41">
              <w:rPr>
                <w:sz w:val="28"/>
              </w:rPr>
              <w:t xml:space="preserve">в – водостойкие;  </w:t>
            </w:r>
          </w:p>
        </w:tc>
        <w:tc>
          <w:tcPr>
            <w:tcW w:w="4644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proofErr w:type="gramStart"/>
            <w:r w:rsidRPr="003C5E41">
              <w:rPr>
                <w:sz w:val="28"/>
              </w:rPr>
              <w:t>б</w:t>
            </w:r>
            <w:proofErr w:type="gramEnd"/>
            <w:r w:rsidRPr="003C5E41">
              <w:rPr>
                <w:sz w:val="28"/>
              </w:rPr>
              <w:t xml:space="preserve"> – </w:t>
            </w:r>
            <w:proofErr w:type="spellStart"/>
            <w:r w:rsidRPr="003C5E41">
              <w:rPr>
                <w:sz w:val="28"/>
              </w:rPr>
              <w:t>бензостойкие</w:t>
            </w:r>
            <w:proofErr w:type="spellEnd"/>
            <w:r w:rsidRPr="003C5E41">
              <w:rPr>
                <w:sz w:val="28"/>
              </w:rPr>
              <w:t>;</w:t>
            </w:r>
          </w:p>
        </w:tc>
      </w:tr>
      <w:tr w:rsidR="00B87C88" w:rsidTr="004C62B9">
        <w:tc>
          <w:tcPr>
            <w:tcW w:w="4643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proofErr w:type="gramStart"/>
            <w:r w:rsidRPr="003C5E41">
              <w:rPr>
                <w:sz w:val="28"/>
              </w:rPr>
              <w:t>м</w:t>
            </w:r>
            <w:proofErr w:type="gramEnd"/>
            <w:r w:rsidRPr="003C5E41">
              <w:rPr>
                <w:sz w:val="28"/>
              </w:rPr>
              <w:t xml:space="preserve"> – маслостойкие;</w:t>
            </w:r>
          </w:p>
        </w:tc>
        <w:tc>
          <w:tcPr>
            <w:tcW w:w="4644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 w:rsidRPr="003C5E41">
              <w:rPr>
                <w:sz w:val="28"/>
              </w:rPr>
              <w:t>т – термостойкие;</w:t>
            </w:r>
          </w:p>
        </w:tc>
      </w:tr>
      <w:tr w:rsidR="00B87C88" w:rsidTr="004C62B9">
        <w:tc>
          <w:tcPr>
            <w:tcW w:w="4643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r w:rsidRPr="003C5E41">
              <w:rPr>
                <w:sz w:val="28"/>
              </w:rPr>
              <w:t>к – кислотостойкие;</w:t>
            </w:r>
          </w:p>
        </w:tc>
        <w:tc>
          <w:tcPr>
            <w:tcW w:w="4644" w:type="dxa"/>
          </w:tcPr>
          <w:p w:rsidR="00B87C88" w:rsidRDefault="00B87C88" w:rsidP="004C62B9">
            <w:pPr>
              <w:spacing w:line="293" w:lineRule="auto"/>
              <w:jc w:val="both"/>
              <w:rPr>
                <w:sz w:val="28"/>
              </w:rPr>
            </w:pPr>
            <w:proofErr w:type="spellStart"/>
            <w:proofErr w:type="gramStart"/>
            <w:r w:rsidRPr="003C5E41">
              <w:rPr>
                <w:sz w:val="28"/>
              </w:rPr>
              <w:t>тр</w:t>
            </w:r>
            <w:proofErr w:type="spellEnd"/>
            <w:proofErr w:type="gramEnd"/>
            <w:r w:rsidRPr="003C5E41">
              <w:rPr>
                <w:sz w:val="28"/>
              </w:rPr>
              <w:t xml:space="preserve"> – </w:t>
            </w:r>
            <w:proofErr w:type="spellStart"/>
            <w:r w:rsidRPr="003C5E41">
              <w:rPr>
                <w:sz w:val="28"/>
              </w:rPr>
              <w:t>трещиностойкие</w:t>
            </w:r>
            <w:proofErr w:type="spellEnd"/>
            <w:r>
              <w:rPr>
                <w:sz w:val="28"/>
              </w:rPr>
              <w:t>.</w:t>
            </w:r>
          </w:p>
        </w:tc>
      </w:tr>
    </w:tbl>
    <w:p w:rsidR="00B87C88" w:rsidRDefault="00B87C88" w:rsidP="00B87C88">
      <w:pPr>
        <w:spacing w:before="120" w:line="293" w:lineRule="auto"/>
        <w:ind w:firstLine="567"/>
        <w:jc w:val="both"/>
        <w:rPr>
          <w:sz w:val="28"/>
        </w:rPr>
      </w:pPr>
      <w:r>
        <w:rPr>
          <w:sz w:val="28"/>
        </w:rPr>
        <w:lastRenderedPageBreak/>
        <w:t>Система лакокрасочного покрытия включает:</w:t>
      </w:r>
    </w:p>
    <w:p w:rsidR="00B87C88" w:rsidRDefault="00B87C88" w:rsidP="00B87C88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- грунтовочный слой;</w:t>
      </w:r>
    </w:p>
    <w:p w:rsidR="00B87C88" w:rsidRDefault="00B87C88" w:rsidP="00B87C88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- покрывные защитные слои.</w:t>
      </w:r>
    </w:p>
    <w:p w:rsidR="00B87C88" w:rsidRDefault="00B87C88" w:rsidP="00B87C88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Толщина одного слоя лакокрасочного покрытия зависит от способа нанесения и составляет обычно 15-30 мкм. Способы нанесения следующие:</w:t>
      </w:r>
    </w:p>
    <w:p w:rsidR="00B87C88" w:rsidRDefault="00B87C88" w:rsidP="00B87C88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- пневматический;</w:t>
      </w:r>
    </w:p>
    <w:p w:rsidR="00B87C88" w:rsidRDefault="00B87C88" w:rsidP="00B87C88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- безвоздушный;</w:t>
      </w:r>
    </w:p>
    <w:p w:rsidR="00B87C88" w:rsidRDefault="00B87C88" w:rsidP="00B87C88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- ручной.</w:t>
      </w:r>
    </w:p>
    <w:p w:rsidR="00B87C88" w:rsidRDefault="00B87C88" w:rsidP="00B87C88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Общая толщина назначается в соответствии с требованиями норм проектирования в пределах 0.1-0.25 мм, т.е. 100-250 мкм. Поэтому количество покрывных слоёв может достигать восьми.</w:t>
      </w:r>
    </w:p>
    <w:p w:rsidR="00B87C88" w:rsidRDefault="00B87C88" w:rsidP="00B87C88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Каждый последующий слой наносится после высыхания предыдущего слоя; время высыхания от 1 до 72 часов.</w:t>
      </w:r>
    </w:p>
    <w:p w:rsidR="00B87C88" w:rsidRDefault="00B87C88" w:rsidP="00B87C88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Выбор вариантов защиты производится на основании технико-экономического сравнения вариантов.</w:t>
      </w:r>
    </w:p>
    <w:p w:rsidR="00B87C88" w:rsidRDefault="00B87C88" w:rsidP="00B87C88">
      <w:pPr>
        <w:spacing w:before="120" w:after="120" w:line="293" w:lineRule="auto"/>
        <w:jc w:val="center"/>
        <w:rPr>
          <w:b/>
          <w:sz w:val="28"/>
        </w:rPr>
      </w:pPr>
      <w:r>
        <w:rPr>
          <w:b/>
          <w:sz w:val="28"/>
        </w:rPr>
        <w:t>2.3 Задача № 5</w:t>
      </w:r>
    </w:p>
    <w:p w:rsidR="00B87C88" w:rsidRDefault="00B87C88" w:rsidP="00B87C88">
      <w:pPr>
        <w:pStyle w:val="31"/>
        <w:spacing w:line="293" w:lineRule="auto"/>
      </w:pPr>
      <w:r>
        <w:t>Подобрать три варианта лакокрасочных материалов для защиты железобетонных конструкций от коррозии.</w:t>
      </w:r>
    </w:p>
    <w:p w:rsidR="00B87C88" w:rsidRPr="00636402" w:rsidRDefault="00B87C88" w:rsidP="00B87C88">
      <w:pPr>
        <w:pStyle w:val="1"/>
        <w:spacing w:before="120" w:after="120" w:line="293" w:lineRule="auto"/>
        <w:ind w:firstLine="567"/>
        <w:jc w:val="both"/>
        <w:rPr>
          <w:b w:val="0"/>
        </w:rPr>
      </w:pPr>
      <w:r w:rsidRPr="00636402">
        <w:rPr>
          <w:b w:val="0"/>
        </w:rPr>
        <w:t>2.3.1 Методика решения задачи</w:t>
      </w:r>
    </w:p>
    <w:p w:rsidR="00B87C88" w:rsidRDefault="00B87C88" w:rsidP="00B87C88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 xml:space="preserve">Вначале по таблице 13 [1] определяют группу покрытия и его толщину в зависимости от вида среды и степени агрессивного воздействия. Затем по группе покрытия из приложения 3 [1] выбирают три варианта лакокрасочных материалов. Выбранные варианты представляют в форме таблицы (см. пример). </w:t>
      </w:r>
    </w:p>
    <w:p w:rsidR="00B87C88" w:rsidRPr="00636402" w:rsidRDefault="00B87C88" w:rsidP="00B87C88">
      <w:pPr>
        <w:spacing w:after="120" w:line="288" w:lineRule="auto"/>
        <w:ind w:firstLine="567"/>
        <w:jc w:val="both"/>
        <w:rPr>
          <w:sz w:val="28"/>
        </w:rPr>
      </w:pPr>
      <w:r>
        <w:rPr>
          <w:b/>
          <w:sz w:val="28"/>
        </w:rPr>
        <w:br w:type="page"/>
      </w:r>
      <w:r w:rsidRPr="00636402">
        <w:rPr>
          <w:sz w:val="28"/>
        </w:rPr>
        <w:lastRenderedPageBreak/>
        <w:t>2.3.2 Пример</w:t>
      </w:r>
    </w:p>
    <w:p w:rsidR="00B87C88" w:rsidRPr="00636402" w:rsidRDefault="00B87C88" w:rsidP="00B87C88">
      <w:pPr>
        <w:spacing w:before="120" w:after="120" w:line="288" w:lineRule="auto"/>
        <w:ind w:firstLine="567"/>
        <w:jc w:val="both"/>
        <w:rPr>
          <w:sz w:val="28"/>
        </w:rPr>
      </w:pPr>
      <w:r w:rsidRPr="00636402">
        <w:rPr>
          <w:sz w:val="28"/>
        </w:rPr>
        <w:t>2.3.2.1 Исходные данные</w:t>
      </w:r>
    </w:p>
    <w:p w:rsidR="00B87C88" w:rsidRDefault="00B87C88" w:rsidP="00B87C88">
      <w:pPr>
        <w:spacing w:line="288" w:lineRule="auto"/>
        <w:ind w:firstLine="567"/>
        <w:jc w:val="both"/>
        <w:rPr>
          <w:sz w:val="28"/>
        </w:rPr>
      </w:pPr>
      <w:r>
        <w:rPr>
          <w:sz w:val="28"/>
        </w:rPr>
        <w:t xml:space="preserve">1. Вид среды – </w:t>
      </w:r>
      <w:proofErr w:type="gramStart"/>
      <w:r>
        <w:rPr>
          <w:sz w:val="28"/>
        </w:rPr>
        <w:t>газообразная</w:t>
      </w:r>
      <w:proofErr w:type="gramEnd"/>
      <w:r>
        <w:rPr>
          <w:sz w:val="28"/>
        </w:rPr>
        <w:t>.</w:t>
      </w:r>
    </w:p>
    <w:p w:rsidR="00B87C88" w:rsidRDefault="00B87C88" w:rsidP="00B87C88">
      <w:pPr>
        <w:spacing w:line="288" w:lineRule="auto"/>
        <w:ind w:firstLine="567"/>
        <w:jc w:val="both"/>
        <w:rPr>
          <w:sz w:val="28"/>
        </w:rPr>
      </w:pPr>
      <w:r>
        <w:rPr>
          <w:sz w:val="28"/>
        </w:rPr>
        <w:t xml:space="preserve">2. Степень агрессивного воздействия – </w:t>
      </w:r>
      <w:proofErr w:type="spellStart"/>
      <w:r>
        <w:rPr>
          <w:sz w:val="28"/>
        </w:rPr>
        <w:t>среднеагрессивная</w:t>
      </w:r>
      <w:proofErr w:type="spellEnd"/>
      <w:r>
        <w:rPr>
          <w:sz w:val="28"/>
        </w:rPr>
        <w:t>.</w:t>
      </w:r>
    </w:p>
    <w:p w:rsidR="00B87C88" w:rsidRDefault="00B87C88" w:rsidP="00B87C88">
      <w:pPr>
        <w:spacing w:line="288" w:lineRule="auto"/>
        <w:ind w:firstLine="567"/>
        <w:jc w:val="both"/>
        <w:rPr>
          <w:sz w:val="28"/>
        </w:rPr>
      </w:pPr>
      <w:r>
        <w:rPr>
          <w:sz w:val="28"/>
        </w:rPr>
        <w:t>3. Конструкции эксплуатируются под навесом.</w:t>
      </w:r>
    </w:p>
    <w:p w:rsidR="00B87C88" w:rsidRPr="00CF0304" w:rsidRDefault="00B87C88" w:rsidP="00B87C88">
      <w:pPr>
        <w:spacing w:before="120" w:after="120" w:line="288" w:lineRule="auto"/>
        <w:ind w:firstLine="567"/>
        <w:jc w:val="both"/>
        <w:rPr>
          <w:sz w:val="28"/>
        </w:rPr>
      </w:pPr>
      <w:r w:rsidRPr="00CF0304">
        <w:rPr>
          <w:sz w:val="28"/>
        </w:rPr>
        <w:t>2.3.2.2 Решение</w:t>
      </w:r>
    </w:p>
    <w:p w:rsidR="00B87C88" w:rsidRDefault="00B87C88" w:rsidP="00B87C88">
      <w:pPr>
        <w:spacing w:line="288" w:lineRule="auto"/>
        <w:ind w:firstLine="567"/>
        <w:jc w:val="both"/>
        <w:rPr>
          <w:sz w:val="28"/>
        </w:rPr>
      </w:pPr>
      <w:r>
        <w:rPr>
          <w:sz w:val="28"/>
        </w:rPr>
        <w:t>По таблице 13 определяем группу покрытия и его толщину для обычного лакокрасочного покрытия: III**/0.15-0.2.</w:t>
      </w:r>
    </w:p>
    <w:p w:rsidR="00B87C88" w:rsidRDefault="00B87C88" w:rsidP="00B87C88">
      <w:pPr>
        <w:pStyle w:val="3"/>
        <w:spacing w:line="288" w:lineRule="auto"/>
        <w:ind w:firstLine="567"/>
        <w:jc w:val="both"/>
      </w:pPr>
      <w:r>
        <w:t xml:space="preserve">После этого по группе III по приложению 3 выбираем три варианта лакокрасочных материалов, которые приводятся ниже в таблице 1.  Так как конструкции эксплуатируются под навесом, выбираем покрытие с индексом </w:t>
      </w:r>
      <w:r w:rsidRPr="008B4E3E">
        <w:t>ан</w:t>
      </w:r>
      <w:r>
        <w:t>.</w:t>
      </w:r>
    </w:p>
    <w:p w:rsidR="00B87C88" w:rsidRPr="00B87C88" w:rsidRDefault="00B87C88" w:rsidP="00B87C88"/>
    <w:p w:rsidR="00B87C88" w:rsidRDefault="00B87C88" w:rsidP="00B87C88">
      <w:pPr>
        <w:pStyle w:val="3"/>
        <w:spacing w:line="288" w:lineRule="auto"/>
        <w:ind w:left="2127" w:hanging="1560"/>
        <w:jc w:val="both"/>
      </w:pPr>
      <w:r>
        <w:t>Таблица 1 - Лакокрасочные материалы для защиты железобетонных конструкций от коррозии</w:t>
      </w:r>
    </w:p>
    <w:tbl>
      <w:tblPr>
        <w:tblW w:w="9722" w:type="dxa"/>
        <w:tblInd w:w="20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2"/>
        <w:gridCol w:w="2355"/>
        <w:gridCol w:w="2503"/>
        <w:gridCol w:w="1473"/>
        <w:gridCol w:w="2649"/>
      </w:tblGrid>
      <w:tr w:rsidR="00B87C88" w:rsidTr="00B87C88">
        <w:trPr>
          <w:trHeight w:val="1909"/>
        </w:trPr>
        <w:tc>
          <w:tcPr>
            <w:tcW w:w="7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Номер варианта</w:t>
            </w:r>
          </w:p>
        </w:tc>
        <w:tc>
          <w:tcPr>
            <w:tcW w:w="235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B87C88" w:rsidRDefault="00B87C88" w:rsidP="004C62B9">
            <w:pPr>
              <w:pStyle w:val="a6"/>
            </w:pPr>
            <w:r>
              <w:t>Характеристика лакокрасочных материалов</w:t>
            </w:r>
          </w:p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по типу </w:t>
            </w:r>
            <w:proofErr w:type="gramStart"/>
            <w:r>
              <w:rPr>
                <w:sz w:val="28"/>
              </w:rPr>
              <w:t>плёнкообразующего</w:t>
            </w:r>
            <w:proofErr w:type="gramEnd"/>
          </w:p>
        </w:tc>
        <w:tc>
          <w:tcPr>
            <w:tcW w:w="250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B87C88" w:rsidRDefault="00B87C88" w:rsidP="004C62B9">
            <w:pPr>
              <w:pStyle w:val="3"/>
            </w:pPr>
            <w:r>
              <w:t xml:space="preserve">Марка </w:t>
            </w:r>
          </w:p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материала и </w:t>
            </w:r>
          </w:p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нормативный </w:t>
            </w:r>
          </w:p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документ</w:t>
            </w:r>
          </w:p>
        </w:tc>
        <w:tc>
          <w:tcPr>
            <w:tcW w:w="147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Индекс</w:t>
            </w:r>
          </w:p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покрытия, характеризующий его стойкость </w:t>
            </w:r>
          </w:p>
        </w:tc>
        <w:tc>
          <w:tcPr>
            <w:tcW w:w="26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Условия </w:t>
            </w:r>
          </w:p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применения </w:t>
            </w:r>
          </w:p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покрытий </w:t>
            </w:r>
            <w:proofErr w:type="gramStart"/>
            <w:r>
              <w:rPr>
                <w:sz w:val="28"/>
              </w:rPr>
              <w:t>на</w:t>
            </w:r>
            <w:proofErr w:type="gramEnd"/>
            <w:r>
              <w:rPr>
                <w:sz w:val="28"/>
              </w:rPr>
              <w:t xml:space="preserve"> </w:t>
            </w:r>
          </w:p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конструкциях </w:t>
            </w:r>
            <w:proofErr w:type="gramStart"/>
            <w:r>
              <w:rPr>
                <w:sz w:val="28"/>
              </w:rPr>
              <w:t>из</w:t>
            </w:r>
            <w:proofErr w:type="gramEnd"/>
            <w:r>
              <w:rPr>
                <w:sz w:val="28"/>
              </w:rPr>
              <w:t xml:space="preserve"> </w:t>
            </w:r>
          </w:p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железобетона</w:t>
            </w:r>
          </w:p>
        </w:tc>
      </w:tr>
      <w:tr w:rsidR="00B87C88" w:rsidTr="00B87C88">
        <w:trPr>
          <w:trHeight w:val="634"/>
        </w:trPr>
        <w:tc>
          <w:tcPr>
            <w:tcW w:w="742" w:type="dxa"/>
            <w:tcBorders>
              <w:top w:val="double" w:sz="4" w:space="0" w:color="auto"/>
              <w:left w:val="double" w:sz="4" w:space="0" w:color="auto"/>
            </w:tcBorders>
          </w:tcPr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355" w:type="dxa"/>
            <w:tcBorders>
              <w:top w:val="double" w:sz="4" w:space="0" w:color="auto"/>
            </w:tcBorders>
          </w:tcPr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Кремнийорганические</w:t>
            </w:r>
          </w:p>
        </w:tc>
        <w:tc>
          <w:tcPr>
            <w:tcW w:w="2503" w:type="dxa"/>
            <w:tcBorders>
              <w:top w:val="double" w:sz="4" w:space="0" w:color="auto"/>
            </w:tcBorders>
          </w:tcPr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Эмаль КО-198 </w:t>
            </w:r>
            <w:proofErr w:type="gramStart"/>
            <w:r>
              <w:rPr>
                <w:sz w:val="28"/>
              </w:rPr>
              <w:t>по</w:t>
            </w:r>
            <w:proofErr w:type="gramEnd"/>
            <w:r>
              <w:rPr>
                <w:sz w:val="28"/>
              </w:rPr>
              <w:t xml:space="preserve"> </w:t>
            </w:r>
          </w:p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действующей НД</w:t>
            </w:r>
          </w:p>
        </w:tc>
        <w:tc>
          <w:tcPr>
            <w:tcW w:w="1473" w:type="dxa"/>
            <w:tcBorders>
              <w:top w:val="double" w:sz="4" w:space="0" w:color="auto"/>
            </w:tcBorders>
          </w:tcPr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ан</w:t>
            </w:r>
          </w:p>
        </w:tc>
        <w:tc>
          <w:tcPr>
            <w:tcW w:w="2649" w:type="dxa"/>
            <w:tcBorders>
              <w:top w:val="double" w:sz="4" w:space="0" w:color="auto"/>
              <w:right w:val="double" w:sz="4" w:space="0" w:color="auto"/>
            </w:tcBorders>
          </w:tcPr>
          <w:p w:rsidR="00B87C88" w:rsidRDefault="00B87C88" w:rsidP="004C62B9">
            <w:pPr>
              <w:jc w:val="both"/>
              <w:rPr>
                <w:sz w:val="28"/>
              </w:rPr>
            </w:pPr>
            <w:r>
              <w:rPr>
                <w:sz w:val="28"/>
              </w:rPr>
              <w:t>Грунтование разбавленной краской</w:t>
            </w:r>
          </w:p>
        </w:tc>
      </w:tr>
      <w:tr w:rsidR="00B87C88" w:rsidTr="00B87C88">
        <w:trPr>
          <w:trHeight w:val="634"/>
        </w:trPr>
        <w:tc>
          <w:tcPr>
            <w:tcW w:w="742" w:type="dxa"/>
            <w:tcBorders>
              <w:left w:val="double" w:sz="4" w:space="0" w:color="auto"/>
            </w:tcBorders>
          </w:tcPr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355" w:type="dxa"/>
          </w:tcPr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Полиуретановые</w:t>
            </w:r>
          </w:p>
        </w:tc>
        <w:tc>
          <w:tcPr>
            <w:tcW w:w="2503" w:type="dxa"/>
          </w:tcPr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Эмаль УР-175 </w:t>
            </w:r>
            <w:proofErr w:type="gramStart"/>
            <w:r>
              <w:rPr>
                <w:sz w:val="28"/>
              </w:rPr>
              <w:t>по</w:t>
            </w:r>
            <w:proofErr w:type="gramEnd"/>
            <w:r>
              <w:rPr>
                <w:sz w:val="28"/>
              </w:rPr>
              <w:t xml:space="preserve"> </w:t>
            </w:r>
          </w:p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действующей НД</w:t>
            </w:r>
          </w:p>
        </w:tc>
        <w:tc>
          <w:tcPr>
            <w:tcW w:w="1473" w:type="dxa"/>
          </w:tcPr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ан</w:t>
            </w:r>
          </w:p>
        </w:tc>
        <w:tc>
          <w:tcPr>
            <w:tcW w:w="2649" w:type="dxa"/>
            <w:tcBorders>
              <w:right w:val="double" w:sz="4" w:space="0" w:color="auto"/>
            </w:tcBorders>
          </w:tcPr>
          <w:p w:rsidR="00B87C88" w:rsidRDefault="00B87C88" w:rsidP="004C62B9">
            <w:pPr>
              <w:jc w:val="both"/>
              <w:rPr>
                <w:sz w:val="28"/>
              </w:rPr>
            </w:pPr>
            <w:r>
              <w:rPr>
                <w:sz w:val="28"/>
              </w:rPr>
              <w:t>Наносится по грунтовке лаком УР-19</w:t>
            </w:r>
          </w:p>
        </w:tc>
      </w:tr>
      <w:tr w:rsidR="00B87C88" w:rsidTr="00B87C88">
        <w:trPr>
          <w:trHeight w:val="1299"/>
        </w:trPr>
        <w:tc>
          <w:tcPr>
            <w:tcW w:w="742" w:type="dxa"/>
            <w:tcBorders>
              <w:left w:val="double" w:sz="4" w:space="0" w:color="auto"/>
              <w:bottom w:val="double" w:sz="4" w:space="0" w:color="auto"/>
            </w:tcBorders>
          </w:tcPr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</w:t>
            </w:r>
          </w:p>
        </w:tc>
        <w:tc>
          <w:tcPr>
            <w:tcW w:w="2355" w:type="dxa"/>
            <w:tcBorders>
              <w:bottom w:val="double" w:sz="4" w:space="0" w:color="auto"/>
            </w:tcBorders>
          </w:tcPr>
          <w:p w:rsidR="00B87C88" w:rsidRDefault="00B87C88" w:rsidP="004C62B9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Перхлорвиниловые</w:t>
            </w:r>
            <w:proofErr w:type="gramEnd"/>
            <w:r>
              <w:rPr>
                <w:sz w:val="28"/>
              </w:rPr>
              <w:t xml:space="preserve"> и на сополимерах винилхлорида</w:t>
            </w:r>
          </w:p>
        </w:tc>
        <w:tc>
          <w:tcPr>
            <w:tcW w:w="2503" w:type="dxa"/>
            <w:tcBorders>
              <w:bottom w:val="double" w:sz="4" w:space="0" w:color="auto"/>
            </w:tcBorders>
          </w:tcPr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Эмаль КО-1100 </w:t>
            </w:r>
            <w:proofErr w:type="gramStart"/>
            <w:r>
              <w:rPr>
                <w:sz w:val="28"/>
              </w:rPr>
              <w:t>по</w:t>
            </w:r>
            <w:proofErr w:type="gramEnd"/>
            <w:r>
              <w:rPr>
                <w:sz w:val="28"/>
              </w:rPr>
              <w:t xml:space="preserve"> </w:t>
            </w:r>
          </w:p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действующей НД</w:t>
            </w:r>
          </w:p>
        </w:tc>
        <w:tc>
          <w:tcPr>
            <w:tcW w:w="1473" w:type="dxa"/>
            <w:tcBorders>
              <w:bottom w:val="double" w:sz="4" w:space="0" w:color="auto"/>
            </w:tcBorders>
          </w:tcPr>
          <w:p w:rsidR="00B87C88" w:rsidRDefault="00B87C88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ан</w:t>
            </w:r>
          </w:p>
        </w:tc>
        <w:tc>
          <w:tcPr>
            <w:tcW w:w="2649" w:type="dxa"/>
            <w:tcBorders>
              <w:bottom w:val="double" w:sz="4" w:space="0" w:color="auto"/>
              <w:right w:val="double" w:sz="4" w:space="0" w:color="auto"/>
            </w:tcBorders>
          </w:tcPr>
          <w:p w:rsidR="00B87C88" w:rsidRDefault="00B87C88" w:rsidP="004C62B9">
            <w:pPr>
              <w:jc w:val="both"/>
              <w:rPr>
                <w:sz w:val="28"/>
              </w:rPr>
            </w:pPr>
            <w:r>
              <w:rPr>
                <w:sz w:val="28"/>
              </w:rPr>
              <w:t>Наносится по грунтовкам лаками ХВ-784, ХС-76 и по краске ПВАЦ</w:t>
            </w:r>
          </w:p>
        </w:tc>
      </w:tr>
    </w:tbl>
    <w:p w:rsidR="00B87C88" w:rsidRDefault="00B87C88" w:rsidP="00B87C88">
      <w:pPr>
        <w:spacing w:after="120" w:line="288" w:lineRule="auto"/>
        <w:jc w:val="center"/>
        <w:rPr>
          <w:sz w:val="28"/>
          <w:szCs w:val="28"/>
        </w:rPr>
      </w:pPr>
    </w:p>
    <w:p w:rsidR="00D843AB" w:rsidRDefault="00D843AB" w:rsidP="00D843AB">
      <w:pPr>
        <w:pStyle w:val="3"/>
        <w:spacing w:after="120" w:line="288" w:lineRule="auto"/>
        <w:ind w:firstLine="567"/>
        <w:jc w:val="both"/>
      </w:pPr>
      <w:r>
        <w:t>Таблица 1 – Исходные данные для задач № 1, 2, 5, 7, 8</w:t>
      </w:r>
    </w:p>
    <w:tbl>
      <w:tblPr>
        <w:tblStyle w:val="a3"/>
        <w:tblW w:w="15018" w:type="dxa"/>
        <w:tblLayout w:type="fixed"/>
        <w:tblLook w:val="01E0" w:firstRow="1" w:lastRow="1" w:firstColumn="1" w:lastColumn="1" w:noHBand="0" w:noVBand="0"/>
      </w:tblPr>
      <w:tblGrid>
        <w:gridCol w:w="1482"/>
        <w:gridCol w:w="1263"/>
        <w:gridCol w:w="1264"/>
        <w:gridCol w:w="1263"/>
        <w:gridCol w:w="1264"/>
        <w:gridCol w:w="1263"/>
        <w:gridCol w:w="1264"/>
        <w:gridCol w:w="1263"/>
        <w:gridCol w:w="1264"/>
        <w:gridCol w:w="1714"/>
        <w:gridCol w:w="1714"/>
      </w:tblGrid>
      <w:tr w:rsidR="00D843AB" w:rsidRPr="0005636D" w:rsidTr="006E6A7E">
        <w:trPr>
          <w:trHeight w:val="332"/>
        </w:trPr>
        <w:tc>
          <w:tcPr>
            <w:tcW w:w="1482" w:type="dxa"/>
            <w:vMerge w:val="restart"/>
            <w:tcBorders>
              <w:top w:val="double" w:sz="4" w:space="0" w:color="auto"/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 xml:space="preserve">Номер </w:t>
            </w:r>
          </w:p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варианта</w:t>
            </w:r>
          </w:p>
        </w:tc>
        <w:tc>
          <w:tcPr>
            <w:tcW w:w="10108" w:type="dxa"/>
            <w:gridSpan w:val="8"/>
            <w:tcBorders>
              <w:top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vertAlign w:val="superscript"/>
              </w:rPr>
            </w:pPr>
            <w:r w:rsidRPr="0005636D">
              <w:rPr>
                <w:szCs w:val="28"/>
              </w:rPr>
              <w:t>Состав промышленной атмосферы, мг/м</w:t>
            </w:r>
            <w:r w:rsidRPr="0005636D">
              <w:rPr>
                <w:szCs w:val="28"/>
                <w:vertAlign w:val="superscript"/>
              </w:rPr>
              <w:t>3</w:t>
            </w:r>
          </w:p>
        </w:tc>
        <w:tc>
          <w:tcPr>
            <w:tcW w:w="1714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 xml:space="preserve">Влажностный  </w:t>
            </w:r>
          </w:p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режим</w:t>
            </w:r>
          </w:p>
        </w:tc>
        <w:tc>
          <w:tcPr>
            <w:tcW w:w="1714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 xml:space="preserve">Условия </w:t>
            </w:r>
          </w:p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эксплуатации</w:t>
            </w:r>
          </w:p>
        </w:tc>
      </w:tr>
      <w:tr w:rsidR="00D843AB" w:rsidRPr="0005636D" w:rsidTr="006E6A7E">
        <w:trPr>
          <w:trHeight w:val="169"/>
        </w:trPr>
        <w:tc>
          <w:tcPr>
            <w:tcW w:w="1482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jc w:val="both"/>
              <w:outlineLvl w:val="2"/>
              <w:rPr>
                <w:szCs w:val="28"/>
              </w:rPr>
            </w:pP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ind w:left="-150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углек</w:t>
            </w:r>
            <w:r>
              <w:rPr>
                <w:spacing w:val="-4"/>
                <w:szCs w:val="28"/>
              </w:rPr>
              <w:t>ислый</w:t>
            </w:r>
            <w:r w:rsidRPr="0005636D">
              <w:rPr>
                <w:spacing w:val="-4"/>
                <w:szCs w:val="28"/>
              </w:rPr>
              <w:t xml:space="preserve"> газ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ind w:left="-143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аммиак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D843AB" w:rsidRDefault="00D843AB" w:rsidP="006E6A7E">
            <w:pPr>
              <w:pStyle w:val="3"/>
              <w:spacing w:line="288" w:lineRule="auto"/>
              <w:ind w:left="-150" w:right="-73" w:firstLine="110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 xml:space="preserve">сернистый </w:t>
            </w:r>
          </w:p>
          <w:p w:rsidR="00D843AB" w:rsidRPr="0005636D" w:rsidRDefault="00D843AB" w:rsidP="006E6A7E">
            <w:pPr>
              <w:pStyle w:val="3"/>
              <w:spacing w:line="288" w:lineRule="auto"/>
              <w:ind w:left="-150" w:right="-73" w:firstLine="110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ангидрид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ind w:left="-150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фтористый</w:t>
            </w:r>
          </w:p>
          <w:p w:rsidR="00D843AB" w:rsidRPr="0005636D" w:rsidRDefault="00D843AB" w:rsidP="006E6A7E">
            <w:pPr>
              <w:spacing w:line="288" w:lineRule="auto"/>
              <w:ind w:left="-108" w:right="-73"/>
              <w:jc w:val="center"/>
              <w:rPr>
                <w:spacing w:val="-4"/>
                <w:sz w:val="28"/>
                <w:szCs w:val="28"/>
              </w:rPr>
            </w:pPr>
            <w:r w:rsidRPr="0005636D">
              <w:rPr>
                <w:spacing w:val="-4"/>
                <w:sz w:val="28"/>
                <w:szCs w:val="28"/>
              </w:rPr>
              <w:t>водород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ind w:left="-150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сероводород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ind w:left="-150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окислы азота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ind w:left="-150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хлор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ind w:left="-118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хлористый водород</w:t>
            </w:r>
          </w:p>
        </w:tc>
        <w:tc>
          <w:tcPr>
            <w:tcW w:w="1714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jc w:val="both"/>
              <w:outlineLvl w:val="2"/>
              <w:rPr>
                <w:szCs w:val="28"/>
              </w:rPr>
            </w:pPr>
          </w:p>
        </w:tc>
        <w:tc>
          <w:tcPr>
            <w:tcW w:w="1714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jc w:val="both"/>
              <w:outlineLvl w:val="2"/>
              <w:rPr>
                <w:szCs w:val="28"/>
              </w:rPr>
            </w:pPr>
          </w:p>
        </w:tc>
      </w:tr>
      <w:tr w:rsidR="00D843AB" w:rsidRPr="0005636D" w:rsidTr="006E6A7E">
        <w:trPr>
          <w:trHeight w:val="332"/>
        </w:trPr>
        <w:tc>
          <w:tcPr>
            <w:tcW w:w="1482" w:type="dxa"/>
            <w:tcBorders>
              <w:top w:val="double" w:sz="4" w:space="0" w:color="auto"/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1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0.8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0.8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0.1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0.05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0.2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5.8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0.08</w:t>
            </w:r>
          </w:p>
        </w:tc>
        <w:tc>
          <w:tcPr>
            <w:tcW w:w="1714" w:type="dxa"/>
            <w:tcBorders>
              <w:top w:val="double" w:sz="4" w:space="0" w:color="auto"/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сухой</w:t>
            </w:r>
          </w:p>
        </w:tc>
        <w:tc>
          <w:tcPr>
            <w:tcW w:w="1714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отапливаемое здание</w:t>
            </w:r>
          </w:p>
        </w:tc>
      </w:tr>
      <w:tr w:rsidR="00D843AB" w:rsidRPr="0005636D" w:rsidTr="006E6A7E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2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1.4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1.5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0.9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0.1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0.6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4.0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0.12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нормальный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</w:p>
        </w:tc>
      </w:tr>
      <w:tr w:rsidR="00D843AB" w:rsidRPr="0005636D" w:rsidTr="006E6A7E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3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3.8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2.4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1.6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0.15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30.2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3.2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0.24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влажный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</w:p>
        </w:tc>
      </w:tr>
      <w:tr w:rsidR="00D843AB" w:rsidRPr="0005636D" w:rsidTr="006E6A7E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4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20.8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2.8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2.4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0.8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2.8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3.1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0.4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влажный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</w:p>
        </w:tc>
      </w:tr>
      <w:tr w:rsidR="00D843AB" w:rsidRPr="0005636D" w:rsidTr="006E6A7E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5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4.6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15.3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2.9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1.9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3.9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2.8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0.6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нормальный</w:t>
            </w:r>
          </w:p>
        </w:tc>
        <w:tc>
          <w:tcPr>
            <w:tcW w:w="1714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под навесом</w:t>
            </w:r>
          </w:p>
        </w:tc>
      </w:tr>
      <w:tr w:rsidR="00D843AB" w:rsidRPr="0005636D" w:rsidTr="006E6A7E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6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5.8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10.3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10.2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2.4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5.1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2.5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0.8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сухой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</w:p>
        </w:tc>
      </w:tr>
      <w:tr w:rsidR="00D843AB" w:rsidRPr="0005636D" w:rsidTr="006E6A7E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7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10.3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6.0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3.3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10.8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6.4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2.2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1.1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влажный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</w:p>
        </w:tc>
      </w:tr>
      <w:tr w:rsidR="00D843AB" w:rsidRPr="0005636D" w:rsidTr="006E6A7E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8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12.6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5.1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5.8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3.8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8.3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1.9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1.4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нормальный</w:t>
            </w:r>
          </w:p>
        </w:tc>
        <w:tc>
          <w:tcPr>
            <w:tcW w:w="1714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на открытом воздухе</w:t>
            </w:r>
          </w:p>
        </w:tc>
      </w:tr>
      <w:tr w:rsidR="00D843AB" w:rsidRPr="0005636D" w:rsidTr="006E6A7E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9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15.3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4.8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3.8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4.2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10.2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1.5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6.8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влажный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jc w:val="both"/>
              <w:outlineLvl w:val="2"/>
              <w:rPr>
                <w:szCs w:val="28"/>
              </w:rPr>
            </w:pPr>
          </w:p>
        </w:tc>
      </w:tr>
      <w:tr w:rsidR="00D843AB" w:rsidRPr="0005636D" w:rsidTr="006E6A7E">
        <w:trPr>
          <w:trHeight w:val="348"/>
        </w:trPr>
        <w:tc>
          <w:tcPr>
            <w:tcW w:w="1482" w:type="dxa"/>
            <w:tcBorders>
              <w:left w:val="double" w:sz="4" w:space="0" w:color="auto"/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0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18.0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3.2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4.2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5.4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15.4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1.0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13.3</w:t>
            </w:r>
          </w:p>
        </w:tc>
        <w:tc>
          <w:tcPr>
            <w:tcW w:w="1714" w:type="dxa"/>
            <w:tcBorders>
              <w:bottom w:val="double" w:sz="4" w:space="0" w:color="auto"/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нормальный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jc w:val="both"/>
              <w:outlineLvl w:val="2"/>
              <w:rPr>
                <w:szCs w:val="28"/>
              </w:rPr>
            </w:pPr>
          </w:p>
        </w:tc>
      </w:tr>
    </w:tbl>
    <w:p w:rsidR="00D843AB" w:rsidRPr="007744AD" w:rsidRDefault="00D843AB" w:rsidP="00D843AB">
      <w:pPr>
        <w:spacing w:before="240"/>
        <w:ind w:firstLine="567"/>
        <w:rPr>
          <w:sz w:val="28"/>
          <w:szCs w:val="28"/>
        </w:rPr>
        <w:sectPr w:rsidR="00D843AB" w:rsidRPr="007744AD">
          <w:pgSz w:w="16838" w:h="11906" w:orient="landscape" w:code="9"/>
          <w:pgMar w:top="1701" w:right="1134" w:bottom="851" w:left="851" w:header="720" w:footer="720" w:gutter="0"/>
          <w:cols w:space="708"/>
          <w:docGrid w:linePitch="360"/>
        </w:sectPr>
      </w:pPr>
      <w:r w:rsidRPr="0005636D">
        <w:rPr>
          <w:sz w:val="28"/>
          <w:szCs w:val="28"/>
        </w:rPr>
        <w:t>Номер варианта по таблице 7 определяется по разности двух последних цифр шифра (номера зачетной книжки)</w:t>
      </w:r>
    </w:p>
    <w:p w:rsidR="00D843AB" w:rsidRPr="00D843AB" w:rsidRDefault="00D843AB" w:rsidP="00D843AB">
      <w:pPr>
        <w:pStyle w:val="21"/>
        <w:spacing w:line="288" w:lineRule="auto"/>
        <w:jc w:val="center"/>
        <w:rPr>
          <w:sz w:val="28"/>
          <w:szCs w:val="28"/>
        </w:rPr>
      </w:pPr>
      <w:r w:rsidRPr="00D843AB">
        <w:rPr>
          <w:sz w:val="28"/>
          <w:szCs w:val="28"/>
        </w:rPr>
        <w:lastRenderedPageBreak/>
        <w:t>ЛИТЕРАТУРА</w:t>
      </w:r>
    </w:p>
    <w:p w:rsidR="00D843AB" w:rsidRPr="00D843AB" w:rsidRDefault="00D843AB" w:rsidP="00D843AB">
      <w:pPr>
        <w:pStyle w:val="21"/>
        <w:spacing w:line="288" w:lineRule="auto"/>
        <w:jc w:val="center"/>
        <w:rPr>
          <w:sz w:val="28"/>
          <w:szCs w:val="28"/>
        </w:rPr>
      </w:pPr>
    </w:p>
    <w:p w:rsidR="00D843AB" w:rsidRPr="00D843AB" w:rsidRDefault="00D843AB" w:rsidP="00D843AB">
      <w:pPr>
        <w:pStyle w:val="a4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843AB">
        <w:rPr>
          <w:rFonts w:ascii="Times New Roman" w:hAnsi="Times New Roman"/>
          <w:sz w:val="28"/>
          <w:szCs w:val="28"/>
        </w:rPr>
        <w:t>1.</w:t>
      </w:r>
      <w:r w:rsidRPr="00D843AB">
        <w:rPr>
          <w:sz w:val="28"/>
          <w:szCs w:val="28"/>
        </w:rPr>
        <w:t xml:space="preserve"> </w:t>
      </w:r>
      <w:r w:rsidRPr="00D843AB">
        <w:rPr>
          <w:rFonts w:ascii="Times New Roman" w:hAnsi="Times New Roman"/>
          <w:sz w:val="28"/>
          <w:szCs w:val="28"/>
        </w:rPr>
        <w:t>СНиП РК 2.01-19-2004. Защита строительных конструкций от коррозии / Комитет по делам строительства Министерства индустрии и торговли Республики  Казахстан, - Астана, 2004. - 62 с.</w:t>
      </w:r>
    </w:p>
    <w:p w:rsidR="00D843AB" w:rsidRPr="00D843AB" w:rsidRDefault="00D843AB" w:rsidP="00D843AB">
      <w:pPr>
        <w:pStyle w:val="21"/>
        <w:spacing w:line="288" w:lineRule="auto"/>
        <w:jc w:val="both"/>
        <w:rPr>
          <w:sz w:val="28"/>
          <w:szCs w:val="28"/>
        </w:rPr>
      </w:pPr>
      <w:r w:rsidRPr="00D843AB">
        <w:rPr>
          <w:sz w:val="28"/>
          <w:szCs w:val="28"/>
        </w:rPr>
        <w:t xml:space="preserve">2.  Пособие по проектированию защиты от коррозии бетонных и железобетонных строительных конструкций: (к СНиП 2.03.11-85) / НИИЖБ Госстроя СССР. – М.: </w:t>
      </w:r>
      <w:proofErr w:type="spellStart"/>
      <w:r w:rsidRPr="00D843AB">
        <w:rPr>
          <w:sz w:val="28"/>
          <w:szCs w:val="28"/>
        </w:rPr>
        <w:t>Стройиздат</w:t>
      </w:r>
      <w:proofErr w:type="spellEnd"/>
      <w:r w:rsidRPr="00D843AB">
        <w:rPr>
          <w:sz w:val="28"/>
          <w:szCs w:val="28"/>
        </w:rPr>
        <w:t>, 1989. – 175 с.</w:t>
      </w:r>
    </w:p>
    <w:p w:rsidR="00D843AB" w:rsidRPr="00D843AB" w:rsidRDefault="00D843AB" w:rsidP="00D843AB">
      <w:pPr>
        <w:pStyle w:val="21"/>
        <w:spacing w:line="288" w:lineRule="auto"/>
        <w:jc w:val="both"/>
        <w:rPr>
          <w:sz w:val="28"/>
          <w:szCs w:val="28"/>
        </w:rPr>
      </w:pPr>
      <w:r w:rsidRPr="00D843AB">
        <w:rPr>
          <w:sz w:val="28"/>
          <w:szCs w:val="28"/>
        </w:rPr>
        <w:t xml:space="preserve">3. Пособие   по   контролю состояния строительных металлических конструкций   зданий  и  сооружений в агрессивных средах, проведению обследований и проектированию  восстановления защиты конструкций от коррозии (к СНиП  2.03.11-85) / </w:t>
      </w:r>
      <w:proofErr w:type="spellStart"/>
      <w:r w:rsidRPr="00D843AB">
        <w:rPr>
          <w:sz w:val="28"/>
          <w:szCs w:val="28"/>
        </w:rPr>
        <w:t>ЦНИИПроектстальконструкция</w:t>
      </w:r>
      <w:proofErr w:type="spellEnd"/>
      <w:r w:rsidRPr="00D843AB">
        <w:rPr>
          <w:sz w:val="28"/>
          <w:szCs w:val="28"/>
        </w:rPr>
        <w:t xml:space="preserve">. – М.: </w:t>
      </w:r>
      <w:proofErr w:type="spellStart"/>
      <w:r w:rsidRPr="00D843AB">
        <w:rPr>
          <w:sz w:val="28"/>
          <w:szCs w:val="28"/>
        </w:rPr>
        <w:t>Стройиздат</w:t>
      </w:r>
      <w:proofErr w:type="spellEnd"/>
      <w:r w:rsidRPr="00D843AB">
        <w:rPr>
          <w:sz w:val="28"/>
          <w:szCs w:val="28"/>
        </w:rPr>
        <w:t xml:space="preserve">,  1989. – 51 с. </w:t>
      </w:r>
    </w:p>
    <w:p w:rsidR="00D843AB" w:rsidRPr="00D843AB" w:rsidRDefault="00D843AB" w:rsidP="00D843AB">
      <w:pPr>
        <w:pStyle w:val="21"/>
        <w:spacing w:line="288" w:lineRule="auto"/>
        <w:jc w:val="both"/>
        <w:rPr>
          <w:sz w:val="28"/>
          <w:szCs w:val="28"/>
        </w:rPr>
      </w:pPr>
      <w:r w:rsidRPr="00D843AB">
        <w:rPr>
          <w:sz w:val="28"/>
          <w:szCs w:val="28"/>
        </w:rPr>
        <w:t xml:space="preserve">4. Руководство по обеспечению долговечности деревянных клееных конструкций при воздействии на них микроклимата зданий различного назначения и атмосферных факторов. / ЦНИИСК им. Кучеренко. – М.:  </w:t>
      </w:r>
      <w:proofErr w:type="spellStart"/>
      <w:r w:rsidRPr="00D843AB">
        <w:rPr>
          <w:sz w:val="28"/>
          <w:szCs w:val="28"/>
        </w:rPr>
        <w:t>Стройиздат</w:t>
      </w:r>
      <w:proofErr w:type="spellEnd"/>
      <w:r w:rsidRPr="00D843AB">
        <w:rPr>
          <w:sz w:val="28"/>
          <w:szCs w:val="28"/>
        </w:rPr>
        <w:t xml:space="preserve">, 1981. – 96 с.         </w:t>
      </w:r>
    </w:p>
    <w:p w:rsidR="00D843AB" w:rsidRPr="00D843AB" w:rsidRDefault="00D843AB">
      <w:pPr>
        <w:rPr>
          <w:sz w:val="28"/>
          <w:szCs w:val="28"/>
        </w:rPr>
      </w:pPr>
    </w:p>
    <w:sectPr w:rsidR="00D843AB" w:rsidRPr="00D843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801"/>
    <w:rsid w:val="003B6D23"/>
    <w:rsid w:val="004D71CB"/>
    <w:rsid w:val="00644801"/>
    <w:rsid w:val="00A328D5"/>
    <w:rsid w:val="00B87C88"/>
    <w:rsid w:val="00D84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44801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644801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4480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644801"/>
    <w:pPr>
      <w:ind w:firstLine="567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644801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uiPriority w:val="99"/>
    <w:semiHidden/>
    <w:unhideWhenUsed/>
    <w:rsid w:val="00D843A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D843A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Plain Text"/>
    <w:basedOn w:val="a"/>
    <w:link w:val="a5"/>
    <w:rsid w:val="00D843AB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D843AB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B87C8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B87C88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44801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644801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4480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644801"/>
    <w:pPr>
      <w:ind w:firstLine="567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644801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uiPriority w:val="99"/>
    <w:semiHidden/>
    <w:unhideWhenUsed/>
    <w:rsid w:val="00D843A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D843A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Plain Text"/>
    <w:basedOn w:val="a"/>
    <w:link w:val="a5"/>
    <w:rsid w:val="00D843AB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D843AB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B87C8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B87C88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760</Words>
  <Characters>4334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Аделина Ракишева</dc:creator>
  <cp:lastModifiedBy>Admin</cp:lastModifiedBy>
  <cp:revision>2</cp:revision>
  <dcterms:created xsi:type="dcterms:W3CDTF">2019-10-01T06:36:00Z</dcterms:created>
  <dcterms:modified xsi:type="dcterms:W3CDTF">2019-10-01T06:36:00Z</dcterms:modified>
</cp:coreProperties>
</file>